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872" w:rsidRDefault="00ED2820">
      <w:pPr>
        <w:shd w:val="clear" w:color="auto" w:fill="FFFFFF"/>
        <w:jc w:val="both"/>
        <w:rPr>
          <w:rFonts w:ascii="Comic Sans MS" w:eastAsia="Comic Sans MS" w:hAnsi="Comic Sans MS" w:cs="Comic Sans MS"/>
          <w:b/>
          <w:sz w:val="32"/>
          <w:szCs w:val="32"/>
        </w:rPr>
      </w:pPr>
      <w:r>
        <w:rPr>
          <w:rFonts w:ascii="Comic Sans MS" w:eastAsia="Comic Sans MS" w:hAnsi="Comic Sans MS" w:cs="Comic Sans MS"/>
          <w:noProof/>
          <w:lang w:val="fr-FR"/>
        </w:rPr>
        <w:drawing>
          <wp:anchor distT="0" distB="0" distL="114300" distR="114300" simplePos="0" relativeHeight="251660288" behindDoc="1" locked="0" layoutInCell="1" allowOverlap="1">
            <wp:simplePos x="0" y="0"/>
            <wp:positionH relativeFrom="column">
              <wp:posOffset>3143250</wp:posOffset>
            </wp:positionH>
            <wp:positionV relativeFrom="paragraph">
              <wp:posOffset>0</wp:posOffset>
            </wp:positionV>
            <wp:extent cx="2591991" cy="1457299"/>
            <wp:effectExtent l="0" t="0" r="0" b="0"/>
            <wp:wrapTight wrapText="bothSides">
              <wp:wrapPolygon edited="0">
                <wp:start x="0" y="0"/>
                <wp:lineTo x="0" y="21186"/>
                <wp:lineTo x="21436" y="21186"/>
                <wp:lineTo x="21436" y="0"/>
                <wp:lineTo x="0" y="0"/>
              </wp:wrapPolygon>
            </wp:wrapTight>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591991" cy="1457299"/>
                    </a:xfrm>
                    <a:prstGeom prst="rect">
                      <a:avLst/>
                    </a:prstGeom>
                    <a:ln/>
                  </pic:spPr>
                </pic:pic>
              </a:graphicData>
            </a:graphic>
          </wp:anchor>
        </w:drawing>
      </w:r>
      <w:r>
        <w:rPr>
          <w:rFonts w:ascii="Comic Sans MS" w:eastAsia="Comic Sans MS" w:hAnsi="Comic Sans MS" w:cs="Comic Sans MS"/>
          <w:b/>
          <w:sz w:val="32"/>
          <w:szCs w:val="32"/>
        </w:rPr>
        <w:t xml:space="preserve">Essais en agriculture de conservation des sols sur l’exploitation de La Faye en Haute Vienne </w:t>
      </w:r>
    </w:p>
    <w:p w:rsidR="00080872" w:rsidRDefault="00ED2820">
      <w:pPr>
        <w:shd w:val="clear" w:color="auto" w:fill="FFFFFF"/>
        <w:ind w:firstLine="720"/>
        <w:jc w:val="both"/>
        <w:rPr>
          <w:rFonts w:ascii="Comic Sans MS" w:eastAsia="Comic Sans MS" w:hAnsi="Comic Sans MS" w:cs="Comic Sans MS"/>
          <w:sz w:val="24"/>
          <w:szCs w:val="24"/>
        </w:rPr>
      </w:pPr>
      <w:r>
        <w:rPr>
          <w:rFonts w:ascii="Comic Sans MS" w:eastAsia="Comic Sans MS" w:hAnsi="Comic Sans MS" w:cs="Comic Sans MS"/>
          <w:sz w:val="80"/>
          <w:szCs w:val="80"/>
        </w:rPr>
        <w:t>L</w:t>
      </w:r>
      <w:r>
        <w:rPr>
          <w:rFonts w:ascii="Comic Sans MS" w:eastAsia="Comic Sans MS" w:hAnsi="Comic Sans MS" w:cs="Comic Sans MS"/>
        </w:rPr>
        <w:t>’</w:t>
      </w:r>
      <w:r>
        <w:rPr>
          <w:rFonts w:ascii="Caudex" w:eastAsia="Caudex" w:hAnsi="Caudex" w:cs="Caudex"/>
          <w:sz w:val="24"/>
          <w:szCs w:val="24"/>
        </w:rPr>
        <w:t>EPLEFPA de Saint Yrieix la Perche a récemment obtenu un ⅓ temps : “</w:t>
      </w:r>
      <w:r>
        <w:rPr>
          <w:rFonts w:ascii="Comic Sans MS" w:eastAsia="Comic Sans MS" w:hAnsi="Comic Sans MS" w:cs="Comic Sans MS"/>
          <w:sz w:val="24"/>
          <w:szCs w:val="24"/>
          <w:highlight w:val="white"/>
        </w:rPr>
        <w:t>Agroéquipement, agronomie et élevage : ensemble pour réduire les intrants et l’impact carbone”</w:t>
      </w:r>
      <w:r>
        <w:rPr>
          <w:rFonts w:ascii="Comic Sans MS" w:eastAsia="Comic Sans MS" w:hAnsi="Comic Sans MS" w:cs="Comic Sans MS"/>
          <w:sz w:val="24"/>
          <w:szCs w:val="24"/>
        </w:rPr>
        <w:t xml:space="preserve">. </w:t>
      </w:r>
    </w:p>
    <w:p w:rsidR="00080872" w:rsidRDefault="00ED2820">
      <w:pPr>
        <w:shd w:val="clear" w:color="auto" w:fill="FFFFFF"/>
        <w:jc w:val="both"/>
        <w:rPr>
          <w:rFonts w:ascii="Comic Sans MS" w:eastAsia="Comic Sans MS" w:hAnsi="Comic Sans MS" w:cs="Comic Sans MS"/>
        </w:rPr>
      </w:pPr>
      <w:r>
        <w:rPr>
          <w:rFonts w:ascii="Comic Sans MS" w:eastAsia="Comic Sans MS" w:hAnsi="Comic Sans MS" w:cs="Comic Sans MS"/>
          <w:noProof/>
          <w:lang w:val="fr-FR"/>
        </w:rPr>
        <w:drawing>
          <wp:inline distT="114300" distB="114300" distL="114300" distR="114300">
            <wp:extent cx="2638425" cy="8763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638425" cy="876300"/>
                    </a:xfrm>
                    <a:prstGeom prst="rect">
                      <a:avLst/>
                    </a:prstGeom>
                    <a:ln/>
                  </pic:spPr>
                </pic:pic>
              </a:graphicData>
            </a:graphic>
          </wp:inline>
        </w:drawing>
      </w:r>
    </w:p>
    <w:p w:rsidR="00080872" w:rsidRDefault="00ED2820">
      <w:pPr>
        <w:shd w:val="clear" w:color="auto" w:fill="FFFFFF"/>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Dans ce contexte, l’exploitation se fixe comme objectif d’élargir la réflexion et d’accentuer la TAE (Transition Agro Écologique) en intégrant de manière forte les agroéquipements et en mesurant concrètement les impacts des différentes pratiques sur :</w:t>
      </w:r>
    </w:p>
    <w:p w:rsidR="00080872" w:rsidRDefault="00ED2820">
      <w:pPr>
        <w:numPr>
          <w:ilvl w:val="0"/>
          <w:numId w:val="1"/>
        </w:numPr>
        <w:shd w:val="clear" w:color="auto" w:fill="FFFFFF"/>
        <w:ind w:left="425"/>
        <w:jc w:val="both"/>
        <w:rPr>
          <w:rFonts w:ascii="Comic Sans MS" w:eastAsia="Comic Sans MS" w:hAnsi="Comic Sans MS" w:cs="Comic Sans MS"/>
          <w:sz w:val="24"/>
          <w:szCs w:val="24"/>
        </w:rPr>
      </w:pPr>
      <w:r>
        <w:rPr>
          <w:rFonts w:ascii="Comic Sans MS" w:eastAsia="Comic Sans MS" w:hAnsi="Comic Sans MS" w:cs="Comic Sans MS"/>
          <w:sz w:val="24"/>
          <w:szCs w:val="24"/>
        </w:rPr>
        <w:t>Les intrants,</w:t>
      </w:r>
    </w:p>
    <w:p w:rsidR="00080872" w:rsidRDefault="00ED2820">
      <w:pPr>
        <w:numPr>
          <w:ilvl w:val="0"/>
          <w:numId w:val="1"/>
        </w:numPr>
        <w:shd w:val="clear" w:color="auto" w:fill="FFFFFF"/>
        <w:ind w:left="425"/>
        <w:jc w:val="both"/>
        <w:rPr>
          <w:rFonts w:ascii="Comic Sans MS" w:eastAsia="Comic Sans MS" w:hAnsi="Comic Sans MS" w:cs="Comic Sans MS"/>
          <w:sz w:val="24"/>
          <w:szCs w:val="24"/>
        </w:rPr>
      </w:pPr>
      <w:r>
        <w:rPr>
          <w:rFonts w:ascii="Comic Sans MS" w:eastAsia="Comic Sans MS" w:hAnsi="Comic Sans MS" w:cs="Comic Sans MS"/>
          <w:sz w:val="24"/>
          <w:szCs w:val="24"/>
        </w:rPr>
        <w:t>Les temps de travaux,</w:t>
      </w:r>
    </w:p>
    <w:p w:rsidR="00080872" w:rsidRDefault="00ED2820">
      <w:pPr>
        <w:numPr>
          <w:ilvl w:val="0"/>
          <w:numId w:val="1"/>
        </w:numPr>
        <w:shd w:val="clear" w:color="auto" w:fill="FFFFFF"/>
        <w:ind w:left="425"/>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Le bilan carbone.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Une des actions de la première année a été de mettre en place des essais de semis avec différents itinéraires techniques.  La photo ci-dessous montre la mise en place des essais sur une céréale : </w:t>
      </w:r>
    </w:p>
    <w:p w:rsidR="00080872" w:rsidRDefault="00ED2820">
      <w:pPr>
        <w:jc w:val="both"/>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l’orge</w:t>
      </w:r>
      <w:proofErr w:type="gramEnd"/>
      <w:r>
        <w:rPr>
          <w:rFonts w:ascii="Comic Sans MS" w:eastAsia="Comic Sans MS" w:hAnsi="Comic Sans MS" w:cs="Comic Sans MS"/>
          <w:sz w:val="24"/>
          <w:szCs w:val="24"/>
        </w:rPr>
        <w:t xml:space="preserve"> d’hiver. </w:t>
      </w:r>
    </w:p>
    <w:p w:rsidR="00080872" w:rsidRDefault="00080872">
      <w:pPr>
        <w:ind w:firstLine="720"/>
        <w:jc w:val="both"/>
        <w:rPr>
          <w:rFonts w:ascii="Comic Sans MS" w:eastAsia="Comic Sans MS" w:hAnsi="Comic Sans MS" w:cs="Comic Sans MS"/>
          <w:i/>
          <w:sz w:val="20"/>
          <w:szCs w:val="20"/>
        </w:rPr>
      </w:pPr>
    </w:p>
    <w:p w:rsidR="00ED2820" w:rsidRDefault="00ED2820">
      <w:pPr>
        <w:ind w:firstLine="720"/>
        <w:jc w:val="both"/>
        <w:rPr>
          <w:rFonts w:ascii="Comic Sans MS" w:eastAsia="Comic Sans MS" w:hAnsi="Comic Sans MS" w:cs="Comic Sans MS"/>
          <w:i/>
          <w:sz w:val="20"/>
          <w:szCs w:val="20"/>
        </w:rPr>
      </w:pPr>
    </w:p>
    <w:p w:rsidR="00080872" w:rsidRDefault="00ED2820">
      <w:pPr>
        <w:jc w:val="both"/>
        <w:rPr>
          <w:rFonts w:ascii="Comic Sans MS" w:eastAsia="Comic Sans MS" w:hAnsi="Comic Sans MS" w:cs="Comic Sans MS"/>
          <w:i/>
          <w:sz w:val="20"/>
          <w:szCs w:val="20"/>
        </w:rPr>
      </w:pPr>
      <w:r>
        <w:rPr>
          <w:rFonts w:ascii="Comic Sans MS" w:eastAsia="Comic Sans MS" w:hAnsi="Comic Sans MS" w:cs="Comic Sans MS"/>
          <w:i/>
          <w:sz w:val="20"/>
          <w:szCs w:val="20"/>
        </w:rPr>
        <w:t>Figure 1 : Plan des essais 2021.</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Dans le plan des essais, on trouve une parcelle conduite en agriculture biologique (à gauche) et une parcelle conduite en agriculture raisonnée (à droite). Nous ne nous intéresserons ici qu’à l’essai “conservation des sols”. Pour celui-ci trois modalités ont été réalisées. Deux d’entre elles ont une visée “agriculture de conservation des sols” avec un semis sous couvert vivant [trèfle ou lotier]. L’objectif est de conserver le couvert au moins 2 ans  pour y semer la culture suivante.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La culture précédente, un blé, a été implantée sous deux modalités : agriculture biologique (</w:t>
      </w:r>
      <w:proofErr w:type="spellStart"/>
      <w:r>
        <w:rPr>
          <w:rFonts w:ascii="Comic Sans MS" w:eastAsia="Comic Sans MS" w:hAnsi="Comic Sans MS" w:cs="Comic Sans MS"/>
          <w:sz w:val="24"/>
          <w:szCs w:val="24"/>
        </w:rPr>
        <w:t>rdt</w:t>
      </w:r>
      <w:proofErr w:type="spellEnd"/>
      <w:r>
        <w:rPr>
          <w:rFonts w:ascii="Comic Sans MS" w:eastAsia="Comic Sans MS" w:hAnsi="Comic Sans MS" w:cs="Comic Sans MS"/>
          <w:sz w:val="24"/>
          <w:szCs w:val="24"/>
        </w:rPr>
        <w:t xml:space="preserve"> = 35 q/ha) et agriculture raisonnée (</w:t>
      </w:r>
      <w:proofErr w:type="spellStart"/>
      <w:r>
        <w:rPr>
          <w:rFonts w:ascii="Comic Sans MS" w:eastAsia="Comic Sans MS" w:hAnsi="Comic Sans MS" w:cs="Comic Sans MS"/>
          <w:sz w:val="24"/>
          <w:szCs w:val="24"/>
        </w:rPr>
        <w:t>rdt</w:t>
      </w:r>
      <w:proofErr w:type="spellEnd"/>
      <w:r>
        <w:rPr>
          <w:rFonts w:ascii="Comic Sans MS" w:eastAsia="Comic Sans MS" w:hAnsi="Comic Sans MS" w:cs="Comic Sans MS"/>
          <w:sz w:val="24"/>
          <w:szCs w:val="24"/>
        </w:rPr>
        <w:t xml:space="preserve">= 70 q/ha). La population d’adventices était beaucoup plus importante dans la parcelle conduite en AB. De ce fait, nous en avons donc déduit les ITK sur chacune des parcelles.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L'implantation de l’orge a été réalisée semaine 42 par des étudiants de BTSA, elle s'est déroulée dans des conditions humides sur une parcelle avec beaucoup d’adventices. La partie “raisonnée” a été réalisée après un </w:t>
      </w:r>
      <w:r>
        <w:rPr>
          <w:rFonts w:ascii="Comic Sans MS" w:eastAsia="Comic Sans MS" w:hAnsi="Comic Sans MS" w:cs="Comic Sans MS"/>
          <w:sz w:val="24"/>
          <w:szCs w:val="24"/>
        </w:rPr>
        <w:lastRenderedPageBreak/>
        <w:t xml:space="preserve">déchaumage avec un outil à dents et un semis au combiné herse-rotative semoir. Les couverts ont été implantés directement à suivre avec un semoir en ligne. </w:t>
      </w:r>
    </w:p>
    <w:p w:rsidR="00080872" w:rsidRDefault="00ED2820">
      <w:pPr>
        <w:rPr>
          <w:rFonts w:ascii="Comic Sans MS" w:eastAsia="Comic Sans MS" w:hAnsi="Comic Sans MS" w:cs="Comic Sans MS"/>
        </w:rPr>
      </w:pPr>
      <w:r>
        <w:rPr>
          <w:rFonts w:ascii="Comic Sans MS" w:eastAsia="Comic Sans MS" w:hAnsi="Comic Sans MS" w:cs="Comic Sans MS"/>
          <w:i/>
          <w:sz w:val="20"/>
          <w:szCs w:val="20"/>
        </w:rPr>
        <w:t>Figure 2 : Semis des couverts.</w:t>
      </w:r>
      <w:r>
        <w:rPr>
          <w:rFonts w:ascii="Comic Sans MS" w:eastAsia="Comic Sans MS" w:hAnsi="Comic Sans MS" w:cs="Comic Sans MS"/>
        </w:rPr>
        <w:t xml:space="preserve"> </w:t>
      </w:r>
      <w:r>
        <w:rPr>
          <w:noProof/>
          <w:lang w:val="fr-FR"/>
        </w:rPr>
        <w:drawing>
          <wp:anchor distT="114300" distB="114300" distL="114300" distR="114300" simplePos="0" relativeHeight="251658240" behindDoc="0" locked="0" layoutInCell="1" hidden="0" allowOverlap="1">
            <wp:simplePos x="0" y="0"/>
            <wp:positionH relativeFrom="column">
              <wp:posOffset>-717</wp:posOffset>
            </wp:positionH>
            <wp:positionV relativeFrom="paragraph">
              <wp:posOffset>142435</wp:posOffset>
            </wp:positionV>
            <wp:extent cx="2638425" cy="1981200"/>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638425" cy="1981200"/>
                    </a:xfrm>
                    <a:prstGeom prst="rect">
                      <a:avLst/>
                    </a:prstGeom>
                    <a:ln/>
                  </pic:spPr>
                </pic:pic>
              </a:graphicData>
            </a:graphic>
          </wp:anchor>
        </w:drawing>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La levée de l’orge était au départ plutôt homogène. Les couverts ont mis du temps à germer On a constaté un développement rapide des adventices.</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La quantité</w:t>
      </w:r>
      <w:r w:rsidR="008E7A19">
        <w:rPr>
          <w:rFonts w:ascii="Comic Sans MS" w:eastAsia="Comic Sans MS" w:hAnsi="Comic Sans MS" w:cs="Comic Sans MS"/>
          <w:sz w:val="24"/>
          <w:szCs w:val="24"/>
        </w:rPr>
        <w:t xml:space="preserve"> d’adventices en sortie d’hiver</w:t>
      </w:r>
      <w:r>
        <w:rPr>
          <w:rFonts w:ascii="Comic Sans MS" w:eastAsia="Comic Sans MS" w:hAnsi="Comic Sans MS" w:cs="Comic Sans MS"/>
          <w:sz w:val="24"/>
          <w:szCs w:val="24"/>
        </w:rPr>
        <w:t xml:space="preserve"> nous a contraint</w:t>
      </w:r>
      <w:r w:rsidR="008E7A19">
        <w:rPr>
          <w:rFonts w:ascii="Comic Sans MS" w:eastAsia="Comic Sans MS" w:hAnsi="Comic Sans MS" w:cs="Comic Sans MS"/>
          <w:sz w:val="24"/>
          <w:szCs w:val="24"/>
        </w:rPr>
        <w:t>s</w:t>
      </w:r>
      <w:r>
        <w:rPr>
          <w:rFonts w:ascii="Comic Sans MS" w:eastAsia="Comic Sans MS" w:hAnsi="Comic Sans MS" w:cs="Comic Sans MS"/>
          <w:sz w:val="24"/>
          <w:szCs w:val="24"/>
        </w:rPr>
        <w:t xml:space="preserve"> à faire un choix : garder les couverts ou pulvériser </w:t>
      </w:r>
      <w:proofErr w:type="gramStart"/>
      <w:r>
        <w:rPr>
          <w:rFonts w:ascii="Comic Sans MS" w:eastAsia="Comic Sans MS" w:hAnsi="Comic Sans MS" w:cs="Comic Sans MS"/>
          <w:sz w:val="24"/>
          <w:szCs w:val="24"/>
        </w:rPr>
        <w:t>un</w:t>
      </w:r>
      <w:proofErr w:type="gramEnd"/>
      <w:r>
        <w:rPr>
          <w:rFonts w:ascii="Comic Sans MS" w:eastAsia="Comic Sans MS" w:hAnsi="Comic Sans MS" w:cs="Comic Sans MS"/>
          <w:sz w:val="24"/>
          <w:szCs w:val="24"/>
        </w:rPr>
        <w:t xml:space="preserve"> anti-dicotylédone pour sauver la céréale. Le choix se porta sur le désherbage.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 ce jour, nous élaborons une nouvelle stratégie pour réimplanter les couverts.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Cet essai a permis de réaliser de nombreuses séances de travaux pratiques sur le suivi de végétation et sur les composantes de rendement. Il a également mis en avant que dans les conditions de semis, le labour  peut dans certains cas être un moyen </w:t>
      </w:r>
      <w:r>
        <w:rPr>
          <w:rFonts w:ascii="Comic Sans MS" w:eastAsia="Comic Sans MS" w:hAnsi="Comic Sans MS" w:cs="Comic Sans MS"/>
          <w:sz w:val="24"/>
          <w:szCs w:val="24"/>
        </w:rPr>
        <w:t>efficace de limiter les adventices. Nous avons d’ailleurs observé un développement contenu de ces dernières dans la partie conduite en bio qui avait été labourée.</w:t>
      </w:r>
    </w:p>
    <w:p w:rsidR="00080872" w:rsidRDefault="00ED2820">
      <w:pPr>
        <w:jc w:val="both"/>
        <w:rPr>
          <w:rFonts w:ascii="Comic Sans MS" w:eastAsia="Comic Sans MS" w:hAnsi="Comic Sans MS" w:cs="Comic Sans MS"/>
        </w:rPr>
      </w:pPr>
      <w:r>
        <w:rPr>
          <w:rFonts w:ascii="Comic Sans MS" w:eastAsia="Comic Sans MS" w:hAnsi="Comic Sans MS" w:cs="Comic Sans MS"/>
          <w:i/>
          <w:sz w:val="20"/>
          <w:szCs w:val="20"/>
        </w:rPr>
        <w:t>Figure 3 : Evaluation du nombre d’adventices présentes par les étudiants en BTSA GDEA.</w:t>
      </w:r>
      <w:r>
        <w:rPr>
          <w:noProof/>
          <w:lang w:val="fr-FR"/>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171010</wp:posOffset>
            </wp:positionV>
            <wp:extent cx="2638425" cy="22860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38425" cy="2286000"/>
                    </a:xfrm>
                    <a:prstGeom prst="rect">
                      <a:avLst/>
                    </a:prstGeom>
                    <a:ln/>
                  </pic:spPr>
                </pic:pic>
              </a:graphicData>
            </a:graphic>
          </wp:anchor>
        </w:drawing>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À ce jour, l’orge est à son deuxième apport d’azote. La céréale évolue dans des conditions normales. Le désherbage chimique qui a été réalisé à la fin de l’hiver a bien fonctionné. </w:t>
      </w:r>
    </w:p>
    <w:p w:rsidR="00080872" w:rsidRDefault="00ED2820">
      <w:pPr>
        <w:ind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Dans le même temps, une deuxième action est à l’étude elle portera sur l’importance de l’émission carbone de l’exploitation</w:t>
      </w:r>
      <w:r w:rsidR="008E7A19">
        <w:rPr>
          <w:rFonts w:ascii="Comic Sans MS" w:eastAsia="Comic Sans MS" w:hAnsi="Comic Sans MS" w:cs="Comic Sans MS"/>
          <w:sz w:val="24"/>
          <w:szCs w:val="24"/>
        </w:rPr>
        <w:t>,</w:t>
      </w:r>
      <w:bookmarkStart w:id="0" w:name="_GoBack"/>
      <w:bookmarkEnd w:id="0"/>
      <w:r>
        <w:rPr>
          <w:rFonts w:ascii="Comic Sans MS" w:eastAsia="Comic Sans MS" w:hAnsi="Comic Sans MS" w:cs="Comic Sans MS"/>
          <w:sz w:val="24"/>
          <w:szCs w:val="24"/>
        </w:rPr>
        <w:t xml:space="preserve"> ce qui est un élément essentiel pour la réduction de nos GES (Gaz à Effet de Serre)  et le label Bas carbone est à l’étude. </w:t>
      </w:r>
    </w:p>
    <w:p w:rsidR="00ED2820" w:rsidRDefault="00ED2820">
      <w:pPr>
        <w:jc w:val="both"/>
        <w:rPr>
          <w:rFonts w:ascii="Comic Sans MS" w:eastAsia="Comic Sans MS" w:hAnsi="Comic Sans MS" w:cs="Comic Sans MS"/>
          <w:b/>
          <w:sz w:val="18"/>
          <w:szCs w:val="18"/>
        </w:rPr>
      </w:pPr>
    </w:p>
    <w:p w:rsidR="00080872" w:rsidRDefault="00ED2820">
      <w:pPr>
        <w:jc w:val="both"/>
        <w:rPr>
          <w:rFonts w:ascii="Comic Sans MS" w:eastAsia="Comic Sans MS" w:hAnsi="Comic Sans MS" w:cs="Comic Sans MS"/>
          <w:b/>
          <w:sz w:val="18"/>
          <w:szCs w:val="18"/>
        </w:rPr>
      </w:pPr>
      <w:r>
        <w:rPr>
          <w:rFonts w:ascii="Comic Sans MS" w:eastAsia="Comic Sans MS" w:hAnsi="Comic Sans MS" w:cs="Comic Sans MS"/>
          <w:b/>
          <w:sz w:val="18"/>
          <w:szCs w:val="18"/>
        </w:rPr>
        <w:t>Nicolas Cartier enseignant en Agronomie</w:t>
      </w:r>
    </w:p>
    <w:p w:rsidR="00080872" w:rsidRDefault="00ED2820">
      <w:pPr>
        <w:jc w:val="both"/>
        <w:rPr>
          <w:rFonts w:ascii="Comic Sans MS" w:eastAsia="Comic Sans MS" w:hAnsi="Comic Sans MS" w:cs="Comic Sans MS"/>
          <w:b/>
          <w:sz w:val="18"/>
          <w:szCs w:val="18"/>
        </w:rPr>
      </w:pPr>
      <w:r>
        <w:rPr>
          <w:rFonts w:ascii="Comic Sans MS" w:eastAsia="Comic Sans MS" w:hAnsi="Comic Sans MS" w:cs="Comic Sans MS"/>
          <w:b/>
          <w:sz w:val="18"/>
          <w:szCs w:val="18"/>
        </w:rPr>
        <w:t xml:space="preserve">Gaëtan Chaput enseignant en Agroéquipement </w:t>
      </w:r>
    </w:p>
    <w:sectPr w:rsidR="00080872">
      <w:pgSz w:w="11909" w:h="16834"/>
      <w:pgMar w:top="1440" w:right="1440" w:bottom="1440" w:left="1440" w:header="720" w:footer="720" w:gutter="0"/>
      <w:pgNumType w:start="1"/>
      <w:cols w:num="2" w:space="720" w:equalWidth="0">
        <w:col w:w="4152" w:space="720"/>
        <w:col w:w="415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udex">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E3477"/>
    <w:multiLevelType w:val="multilevel"/>
    <w:tmpl w:val="CB10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72"/>
    <w:rsid w:val="00080872"/>
    <w:rsid w:val="008E7A19"/>
    <w:rsid w:val="00ED2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6B4DA9-76C7-408B-8602-BB04F323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533</Words>
  <Characters>2937</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Cartier</cp:lastModifiedBy>
  <cp:revision>3</cp:revision>
  <dcterms:created xsi:type="dcterms:W3CDTF">2021-04-09T08:00:00Z</dcterms:created>
  <dcterms:modified xsi:type="dcterms:W3CDTF">2021-04-09T13:15:00Z</dcterms:modified>
</cp:coreProperties>
</file>