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61" w:rsidRPr="002B2E85" w:rsidRDefault="00F25568">
      <w:pPr>
        <w:rPr>
          <w:b/>
          <w:szCs w:val="18"/>
        </w:rPr>
      </w:pPr>
      <w:r w:rsidRPr="002B2E85">
        <w:rPr>
          <w:b/>
          <w:szCs w:val="18"/>
        </w:rPr>
        <w:t xml:space="preserve">Fiche </w:t>
      </w:r>
      <w:proofErr w:type="spellStart"/>
      <w:r w:rsidRPr="002B2E85">
        <w:rPr>
          <w:b/>
          <w:szCs w:val="18"/>
        </w:rPr>
        <w:t>PNF</w:t>
      </w:r>
      <w:proofErr w:type="spellEnd"/>
      <w:r w:rsidRPr="002B2E85">
        <w:rPr>
          <w:b/>
          <w:szCs w:val="18"/>
        </w:rPr>
        <w:t xml:space="preserve"> 2018 </w:t>
      </w:r>
      <w:r w:rsidR="007668D2" w:rsidRPr="002B2E85">
        <w:rPr>
          <w:b/>
          <w:szCs w:val="18"/>
        </w:rPr>
        <w:t xml:space="preserve">  n° </w:t>
      </w:r>
      <w:r w:rsidR="000764A0" w:rsidRPr="006217E5">
        <w:rPr>
          <w:rFonts w:ascii="Calibri" w:hAnsi="Calibri" w:cs="Calibri"/>
          <w:b/>
          <w:bCs/>
        </w:rPr>
        <w:t xml:space="preserve">522682 </w:t>
      </w:r>
      <w:r w:rsidR="004C2054">
        <w:rPr>
          <w:b/>
          <w:szCs w:val="18"/>
        </w:rPr>
        <w:t xml:space="preserve"> </w:t>
      </w:r>
      <w:proofErr w:type="spellStart"/>
      <w:r w:rsidR="004C2054">
        <w:rPr>
          <w:b/>
          <w:szCs w:val="18"/>
        </w:rPr>
        <w:t>EPA</w:t>
      </w:r>
      <w:proofErr w:type="spellEnd"/>
      <w:r w:rsidR="004C2054">
        <w:rPr>
          <w:b/>
          <w:szCs w:val="18"/>
        </w:rPr>
        <w:t xml:space="preserve"> </w:t>
      </w:r>
    </w:p>
    <w:p w:rsidR="007E6061" w:rsidRPr="002B2E85" w:rsidRDefault="007668D2">
      <w:pPr>
        <w:rPr>
          <w:rFonts w:ascii="Verdana" w:hAnsi="Verdana" w:cs="Verdana"/>
          <w:b/>
          <w:bCs/>
          <w:color w:val="0000DD"/>
          <w:sz w:val="36"/>
          <w:szCs w:val="28"/>
        </w:rPr>
      </w:pPr>
      <w:r w:rsidRPr="002B2E85">
        <w:rPr>
          <w:b/>
          <w:szCs w:val="18"/>
          <w:u w:val="single"/>
        </w:rPr>
        <w:t>Titre</w:t>
      </w:r>
      <w:r w:rsidRPr="002B2E85">
        <w:rPr>
          <w:szCs w:val="18"/>
          <w:u w:val="single"/>
        </w:rPr>
        <w:t> </w:t>
      </w:r>
      <w:r w:rsidRPr="002B2E85">
        <w:rPr>
          <w:szCs w:val="18"/>
        </w:rPr>
        <w:t xml:space="preserve">: </w:t>
      </w:r>
      <w:r w:rsidR="009D11C4" w:rsidRPr="002B2E85">
        <w:rPr>
          <w:rFonts w:ascii="Verdana" w:hAnsi="Verdana" w:cs="Verdana"/>
          <w:b/>
          <w:bCs/>
          <w:sz w:val="20"/>
          <w:szCs w:val="28"/>
        </w:rPr>
        <w:t xml:space="preserve">Enseigner à produire autrement </w:t>
      </w:r>
      <w:r w:rsidR="00BE0676" w:rsidRPr="002B2E85">
        <w:rPr>
          <w:rFonts w:ascii="Verdana" w:hAnsi="Verdana" w:cs="Verdana"/>
          <w:b/>
          <w:bCs/>
          <w:sz w:val="20"/>
          <w:szCs w:val="28"/>
        </w:rPr>
        <w:t xml:space="preserve">: </w:t>
      </w:r>
      <w:r w:rsidR="00C62A42">
        <w:rPr>
          <w:rFonts w:ascii="Verdana" w:hAnsi="Verdana" w:cs="Verdana"/>
          <w:b/>
          <w:bCs/>
          <w:sz w:val="20"/>
          <w:szCs w:val="28"/>
        </w:rPr>
        <w:t xml:space="preserve">s’approprier les principes clés pour </w:t>
      </w:r>
      <w:proofErr w:type="spellStart"/>
      <w:r w:rsidR="00C62A42">
        <w:rPr>
          <w:rFonts w:ascii="Verdana" w:hAnsi="Verdana" w:cs="Verdana"/>
          <w:b/>
          <w:bCs/>
          <w:sz w:val="20"/>
          <w:szCs w:val="28"/>
        </w:rPr>
        <w:t>EPA</w:t>
      </w:r>
      <w:proofErr w:type="spellEnd"/>
      <w:r w:rsidR="00C62A42">
        <w:rPr>
          <w:rFonts w:ascii="Verdana" w:hAnsi="Verdana" w:cs="Verdana"/>
          <w:b/>
          <w:bCs/>
          <w:sz w:val="20"/>
          <w:szCs w:val="28"/>
        </w:rPr>
        <w:t xml:space="preserve"> et contribuer au développement </w:t>
      </w:r>
      <w:r w:rsidR="006217E5">
        <w:rPr>
          <w:rFonts w:ascii="Verdana" w:hAnsi="Verdana" w:cs="Verdana"/>
          <w:b/>
          <w:bCs/>
          <w:sz w:val="20"/>
          <w:szCs w:val="28"/>
        </w:rPr>
        <w:t>de projets</w:t>
      </w:r>
      <w:r w:rsidR="00C62A42">
        <w:rPr>
          <w:rFonts w:ascii="Verdana" w:hAnsi="Verdana" w:cs="Verdana"/>
          <w:b/>
          <w:bCs/>
          <w:sz w:val="20"/>
          <w:szCs w:val="28"/>
        </w:rPr>
        <w:t xml:space="preserve"> pédagogiques </w:t>
      </w:r>
      <w:proofErr w:type="spellStart"/>
      <w:r w:rsidR="006217E5">
        <w:rPr>
          <w:rFonts w:ascii="Verdana" w:hAnsi="Verdana" w:cs="Verdana"/>
          <w:b/>
          <w:bCs/>
          <w:sz w:val="20"/>
          <w:szCs w:val="28"/>
        </w:rPr>
        <w:t>EPA</w:t>
      </w:r>
      <w:proofErr w:type="spellEnd"/>
      <w:r w:rsidR="006217E5">
        <w:rPr>
          <w:rFonts w:ascii="Verdana" w:hAnsi="Verdana" w:cs="Verdana"/>
          <w:b/>
          <w:bCs/>
          <w:sz w:val="20"/>
          <w:szCs w:val="28"/>
        </w:rPr>
        <w:t xml:space="preserve"> dans son</w:t>
      </w:r>
      <w:r w:rsidR="00F82192" w:rsidRPr="002B2E85">
        <w:rPr>
          <w:rFonts w:ascii="Verdana" w:hAnsi="Verdana" w:cs="Verdana"/>
          <w:b/>
          <w:bCs/>
          <w:sz w:val="20"/>
          <w:szCs w:val="28"/>
        </w:rPr>
        <w:t xml:space="preserve"> établissement </w:t>
      </w:r>
    </w:p>
    <w:p w:rsidR="00640B80" w:rsidRPr="002B2E85" w:rsidRDefault="007668D2">
      <w:pPr>
        <w:rPr>
          <w:szCs w:val="18"/>
        </w:rPr>
      </w:pPr>
      <w:r w:rsidRPr="002B2E85">
        <w:rPr>
          <w:b/>
          <w:szCs w:val="18"/>
          <w:u w:val="single"/>
        </w:rPr>
        <w:t>Public</w:t>
      </w:r>
      <w:r w:rsidRPr="002B2E85">
        <w:rPr>
          <w:szCs w:val="18"/>
        </w:rPr>
        <w:t xml:space="preserve"> : référents régionaux </w:t>
      </w:r>
      <w:proofErr w:type="spellStart"/>
      <w:r w:rsidRPr="002B2E85">
        <w:rPr>
          <w:szCs w:val="18"/>
        </w:rPr>
        <w:t>EPA</w:t>
      </w:r>
      <w:proofErr w:type="spellEnd"/>
      <w:r w:rsidR="00640B80" w:rsidRPr="002B2E85">
        <w:rPr>
          <w:szCs w:val="18"/>
        </w:rPr>
        <w:t>, tiers</w:t>
      </w:r>
      <w:r w:rsidR="005050C1" w:rsidRPr="002B2E85">
        <w:rPr>
          <w:szCs w:val="18"/>
        </w:rPr>
        <w:t>-</w:t>
      </w:r>
      <w:r w:rsidR="00475036" w:rsidRPr="002B2E85">
        <w:rPr>
          <w:szCs w:val="18"/>
        </w:rPr>
        <w:t xml:space="preserve">temps,  chefs de projets, référents innovation pédagogique </w:t>
      </w:r>
      <w:r w:rsidR="00640B80" w:rsidRPr="002B2E85">
        <w:rPr>
          <w:szCs w:val="18"/>
        </w:rPr>
        <w:t>positionnés sur des projets</w:t>
      </w:r>
      <w:r w:rsidR="005050C1" w:rsidRPr="002B2E85">
        <w:rPr>
          <w:szCs w:val="18"/>
        </w:rPr>
        <w:t xml:space="preserve"> pédagogiques</w:t>
      </w:r>
      <w:r w:rsidR="00F25568" w:rsidRPr="002B2E85">
        <w:rPr>
          <w:szCs w:val="18"/>
        </w:rPr>
        <w:t xml:space="preserve"> « EPA »</w:t>
      </w:r>
    </w:p>
    <w:p w:rsidR="00C62A42" w:rsidRDefault="007668D2">
      <w:pPr>
        <w:rPr>
          <w:color w:val="auto"/>
          <w:szCs w:val="18"/>
        </w:rPr>
      </w:pPr>
      <w:r w:rsidRPr="002B2E85">
        <w:rPr>
          <w:b/>
          <w:szCs w:val="18"/>
          <w:u w:val="single"/>
        </w:rPr>
        <w:t xml:space="preserve">Contexte et finalités </w:t>
      </w:r>
      <w:r w:rsidR="00F25568" w:rsidRPr="002B2E85">
        <w:rPr>
          <w:b/>
          <w:szCs w:val="18"/>
          <w:u w:val="single"/>
        </w:rPr>
        <w:br/>
      </w:r>
      <w:r w:rsidR="00475036" w:rsidRPr="002B2E85">
        <w:rPr>
          <w:color w:val="auto"/>
          <w:szCs w:val="18"/>
        </w:rPr>
        <w:t>Dans le cadre du plan</w:t>
      </w:r>
      <w:r w:rsidR="0095017A" w:rsidRPr="002B2E85">
        <w:rPr>
          <w:color w:val="auto"/>
          <w:szCs w:val="18"/>
        </w:rPr>
        <w:t xml:space="preserve"> </w:t>
      </w:r>
      <w:r w:rsidR="00475036" w:rsidRPr="002B2E85">
        <w:rPr>
          <w:color w:val="auto"/>
          <w:szCs w:val="18"/>
        </w:rPr>
        <w:t>« </w:t>
      </w:r>
      <w:r w:rsidR="0095017A" w:rsidRPr="002B2E85">
        <w:rPr>
          <w:color w:val="auto"/>
          <w:szCs w:val="18"/>
        </w:rPr>
        <w:t>Enseigner à Produire Autrement</w:t>
      </w:r>
      <w:r w:rsidR="00475036" w:rsidRPr="002B2E85">
        <w:rPr>
          <w:color w:val="auto"/>
          <w:szCs w:val="18"/>
        </w:rPr>
        <w:t> »</w:t>
      </w:r>
      <w:r w:rsidR="00C62A42">
        <w:rPr>
          <w:color w:val="auto"/>
          <w:szCs w:val="18"/>
        </w:rPr>
        <w:t xml:space="preserve"> (</w:t>
      </w:r>
      <w:proofErr w:type="spellStart"/>
      <w:r w:rsidR="00C62A42">
        <w:rPr>
          <w:color w:val="auto"/>
          <w:szCs w:val="18"/>
        </w:rPr>
        <w:t>EPA</w:t>
      </w:r>
      <w:proofErr w:type="spellEnd"/>
      <w:r w:rsidR="00C62A42">
        <w:rPr>
          <w:color w:val="auto"/>
          <w:szCs w:val="18"/>
        </w:rPr>
        <w:t>)</w:t>
      </w:r>
      <w:r w:rsidRPr="002B2E85">
        <w:rPr>
          <w:color w:val="auto"/>
          <w:szCs w:val="18"/>
        </w:rPr>
        <w:t xml:space="preserve">, </w:t>
      </w:r>
      <w:r w:rsidR="00C62A42">
        <w:rPr>
          <w:color w:val="auto"/>
          <w:szCs w:val="18"/>
        </w:rPr>
        <w:t xml:space="preserve">des expérimentations ont été conduites avec quelques équipes pour innover et développer des pratiques pédagogiques pour </w:t>
      </w:r>
      <w:proofErr w:type="spellStart"/>
      <w:r w:rsidR="00C62A42">
        <w:rPr>
          <w:color w:val="auto"/>
          <w:szCs w:val="18"/>
        </w:rPr>
        <w:t>EPA</w:t>
      </w:r>
      <w:proofErr w:type="spellEnd"/>
      <w:r w:rsidR="00C62A42">
        <w:rPr>
          <w:color w:val="auto"/>
          <w:szCs w:val="18"/>
        </w:rPr>
        <w:t xml:space="preserve">. </w:t>
      </w:r>
      <w:r w:rsidR="006217E5">
        <w:rPr>
          <w:color w:val="auto"/>
          <w:szCs w:val="18"/>
        </w:rPr>
        <w:t xml:space="preserve">L’analyse de ces expérimentations a permis de dégager quelques principes clés utiles pour les équipes pédagogiques.  </w:t>
      </w:r>
      <w:r w:rsidR="00C62A42">
        <w:rPr>
          <w:color w:val="auto"/>
          <w:szCs w:val="18"/>
        </w:rPr>
        <w:t>Par ailleurs, des référents s</w:t>
      </w:r>
      <w:r w:rsidR="00475036" w:rsidRPr="002B2E85">
        <w:rPr>
          <w:color w:val="auto"/>
          <w:szCs w:val="18"/>
        </w:rPr>
        <w:t xml:space="preserve">ont </w:t>
      </w:r>
      <w:r w:rsidR="00C62A42">
        <w:rPr>
          <w:color w:val="auto"/>
          <w:szCs w:val="18"/>
        </w:rPr>
        <w:t xml:space="preserve">aussi à l’initiative de </w:t>
      </w:r>
      <w:r w:rsidR="00475036" w:rsidRPr="002B2E85">
        <w:rPr>
          <w:color w:val="auto"/>
          <w:szCs w:val="18"/>
        </w:rPr>
        <w:t xml:space="preserve">démarches et </w:t>
      </w:r>
      <w:r w:rsidRPr="002B2E85">
        <w:rPr>
          <w:color w:val="auto"/>
          <w:szCs w:val="18"/>
        </w:rPr>
        <w:t xml:space="preserve"> </w:t>
      </w:r>
      <w:r w:rsidR="00475036" w:rsidRPr="002B2E85">
        <w:rPr>
          <w:color w:val="auto"/>
          <w:szCs w:val="18"/>
        </w:rPr>
        <w:t xml:space="preserve">actions </w:t>
      </w:r>
      <w:r w:rsidRPr="002B2E85">
        <w:rPr>
          <w:color w:val="auto"/>
          <w:szCs w:val="18"/>
        </w:rPr>
        <w:t xml:space="preserve">pédagogiques </w:t>
      </w:r>
      <w:r w:rsidR="00475036" w:rsidRPr="002B2E85">
        <w:rPr>
          <w:color w:val="auto"/>
          <w:szCs w:val="18"/>
        </w:rPr>
        <w:t xml:space="preserve">nouvelles en </w:t>
      </w:r>
      <w:r w:rsidR="008A4A3F" w:rsidRPr="002B2E85">
        <w:rPr>
          <w:color w:val="auto"/>
          <w:szCs w:val="18"/>
        </w:rPr>
        <w:t>lien</w:t>
      </w:r>
      <w:r w:rsidR="00475036" w:rsidRPr="002B2E85">
        <w:rPr>
          <w:color w:val="auto"/>
          <w:szCs w:val="18"/>
        </w:rPr>
        <w:t xml:space="preserve">  avec la </w:t>
      </w:r>
      <w:r w:rsidRPr="002B2E85">
        <w:rPr>
          <w:color w:val="auto"/>
          <w:szCs w:val="18"/>
        </w:rPr>
        <w:t>tra</w:t>
      </w:r>
      <w:r w:rsidR="00475036" w:rsidRPr="002B2E85">
        <w:rPr>
          <w:color w:val="auto"/>
          <w:szCs w:val="18"/>
        </w:rPr>
        <w:t>nsition agro-écologique</w:t>
      </w:r>
      <w:r w:rsidRPr="002B2E85">
        <w:rPr>
          <w:color w:val="auto"/>
          <w:szCs w:val="18"/>
        </w:rPr>
        <w:t xml:space="preserve">. </w:t>
      </w:r>
      <w:r w:rsidR="006217E5">
        <w:rPr>
          <w:color w:val="auto"/>
          <w:szCs w:val="18"/>
        </w:rPr>
        <w:t>Mais ils peinent à faire l’analyse de ces projets et les valoriser</w:t>
      </w:r>
    </w:p>
    <w:p w:rsidR="00C62A42" w:rsidRDefault="006217E5">
      <w:pPr>
        <w:rPr>
          <w:color w:val="auto"/>
          <w:szCs w:val="18"/>
        </w:rPr>
      </w:pPr>
      <w:r>
        <w:rPr>
          <w:color w:val="auto"/>
          <w:szCs w:val="18"/>
        </w:rPr>
        <w:t xml:space="preserve">Comment les référents régionaux et autres acteurs de l’appui peuvent-il  </w:t>
      </w:r>
      <w:r w:rsidR="00C62A42">
        <w:rPr>
          <w:color w:val="auto"/>
          <w:szCs w:val="18"/>
        </w:rPr>
        <w:t xml:space="preserve">s’appuyer sur </w:t>
      </w:r>
      <w:r>
        <w:rPr>
          <w:color w:val="auto"/>
          <w:szCs w:val="18"/>
        </w:rPr>
        <w:t>ces éléments pour a</w:t>
      </w:r>
      <w:r w:rsidR="00C62A42">
        <w:rPr>
          <w:color w:val="auto"/>
          <w:szCs w:val="18"/>
        </w:rPr>
        <w:t xml:space="preserve">ccompagner des </w:t>
      </w:r>
      <w:bookmarkStart w:id="0" w:name="_GoBack"/>
      <w:bookmarkEnd w:id="0"/>
      <w:r w:rsidR="00DE18E3">
        <w:rPr>
          <w:color w:val="auto"/>
          <w:szCs w:val="18"/>
        </w:rPr>
        <w:t>équipes pédagogiques à</w:t>
      </w:r>
      <w:r w:rsidR="00C62A42">
        <w:rPr>
          <w:color w:val="auto"/>
          <w:szCs w:val="18"/>
        </w:rPr>
        <w:t xml:space="preserve"> </w:t>
      </w:r>
      <w:proofErr w:type="spellStart"/>
      <w:r w:rsidR="00C62A42">
        <w:rPr>
          <w:color w:val="auto"/>
          <w:szCs w:val="18"/>
        </w:rPr>
        <w:t>EPA</w:t>
      </w:r>
      <w:proofErr w:type="spellEnd"/>
      <w:r w:rsidR="00C62A42">
        <w:rPr>
          <w:color w:val="auto"/>
          <w:szCs w:val="18"/>
        </w:rPr>
        <w:t>. Quels critères peut-on également se donner pour valoriser ces expériences et mettre en avant  le caractère innovant de ces pratiques tout en cherchant à en mesurer les effets ?</w:t>
      </w:r>
    </w:p>
    <w:p w:rsidR="00475036" w:rsidRPr="002B2E85" w:rsidRDefault="00475036" w:rsidP="00475036">
      <w:pPr>
        <w:rPr>
          <w:color w:val="auto"/>
          <w:sz w:val="28"/>
        </w:rPr>
      </w:pPr>
      <w:r w:rsidRPr="002B2E85">
        <w:rPr>
          <w:b/>
          <w:szCs w:val="18"/>
          <w:u w:val="single"/>
        </w:rPr>
        <w:t>Objectifs du stage</w:t>
      </w:r>
      <w:r w:rsidRPr="002B2E85">
        <w:rPr>
          <w:szCs w:val="18"/>
        </w:rPr>
        <w:t xml:space="preserve"> : </w:t>
      </w:r>
      <w:r w:rsidR="00F25568" w:rsidRPr="002B2E85">
        <w:rPr>
          <w:szCs w:val="18"/>
        </w:rPr>
        <w:br/>
      </w:r>
      <w:r w:rsidR="00CA7E7A" w:rsidRPr="002B2E85">
        <w:rPr>
          <w:color w:val="auto"/>
          <w:szCs w:val="18"/>
        </w:rPr>
        <w:t xml:space="preserve">- </w:t>
      </w:r>
      <w:r w:rsidR="00C62A42">
        <w:rPr>
          <w:color w:val="auto"/>
          <w:szCs w:val="18"/>
        </w:rPr>
        <w:t xml:space="preserve">partager les repères des expérimentations </w:t>
      </w:r>
      <w:proofErr w:type="spellStart"/>
      <w:r w:rsidR="00C62A42">
        <w:rPr>
          <w:color w:val="auto"/>
          <w:szCs w:val="18"/>
        </w:rPr>
        <w:t>Pepeita</w:t>
      </w:r>
      <w:proofErr w:type="spellEnd"/>
      <w:r w:rsidR="00C62A42">
        <w:rPr>
          <w:color w:val="auto"/>
          <w:szCs w:val="18"/>
        </w:rPr>
        <w:t xml:space="preserve"> et </w:t>
      </w:r>
      <w:proofErr w:type="spellStart"/>
      <w:r w:rsidR="00C62A42">
        <w:rPr>
          <w:color w:val="auto"/>
          <w:szCs w:val="18"/>
        </w:rPr>
        <w:t>Pepeita-Cgea</w:t>
      </w:r>
      <w:proofErr w:type="spellEnd"/>
      <w:r w:rsidR="00C62A42">
        <w:rPr>
          <w:color w:val="auto"/>
          <w:szCs w:val="18"/>
        </w:rPr>
        <w:t xml:space="preserve"> </w:t>
      </w:r>
      <w:r w:rsidR="006217E5">
        <w:rPr>
          <w:color w:val="auto"/>
          <w:szCs w:val="18"/>
        </w:rPr>
        <w:br/>
      </w:r>
      <w:r w:rsidR="00C62A42">
        <w:rPr>
          <w:color w:val="auto"/>
          <w:szCs w:val="18"/>
        </w:rPr>
        <w:t xml:space="preserve">- analyser les projets pédagogiques  des participants à partir d’une grille d’analyse pour  les valoriser et les évaluer </w:t>
      </w:r>
      <w:r w:rsidR="00C62A42">
        <w:rPr>
          <w:color w:val="auto"/>
          <w:szCs w:val="18"/>
        </w:rPr>
        <w:br/>
        <w:t xml:space="preserve">- </w:t>
      </w:r>
      <w:r w:rsidR="006217E5">
        <w:rPr>
          <w:color w:val="auto"/>
          <w:szCs w:val="18"/>
        </w:rPr>
        <w:t xml:space="preserve">définir des pistes pour l’accompagnement  </w:t>
      </w:r>
      <w:r w:rsidR="00C62A42">
        <w:rPr>
          <w:color w:val="auto"/>
          <w:szCs w:val="18"/>
        </w:rPr>
        <w:t>de</w:t>
      </w:r>
      <w:r w:rsidR="006217E5">
        <w:rPr>
          <w:color w:val="auto"/>
          <w:szCs w:val="18"/>
        </w:rPr>
        <w:t xml:space="preserve"> collègues  dans la construction de projets </w:t>
      </w:r>
      <w:r w:rsidR="00C62A42">
        <w:rPr>
          <w:color w:val="auto"/>
          <w:szCs w:val="18"/>
        </w:rPr>
        <w:t xml:space="preserve"> pédagogiques </w:t>
      </w:r>
      <w:proofErr w:type="spellStart"/>
      <w:r w:rsidR="00C62A42">
        <w:rPr>
          <w:color w:val="auto"/>
          <w:szCs w:val="18"/>
        </w:rPr>
        <w:t>EPA</w:t>
      </w:r>
      <w:proofErr w:type="spellEnd"/>
      <w:r w:rsidR="00C62A42">
        <w:rPr>
          <w:color w:val="auto"/>
          <w:szCs w:val="18"/>
        </w:rPr>
        <w:t xml:space="preserve">. </w:t>
      </w:r>
      <w:r w:rsidR="006217E5">
        <w:rPr>
          <w:color w:val="auto"/>
          <w:szCs w:val="18"/>
        </w:rPr>
        <w:br/>
      </w:r>
      <w:r w:rsidR="00CA7E7A" w:rsidRPr="002B2E85">
        <w:rPr>
          <w:color w:val="auto"/>
          <w:szCs w:val="18"/>
        </w:rPr>
        <w:t>-</w:t>
      </w:r>
      <w:r w:rsidR="000764A0">
        <w:rPr>
          <w:color w:val="auto"/>
          <w:szCs w:val="18"/>
        </w:rPr>
        <w:t xml:space="preserve"> Construire un plan de valorisation/ évaluation des projets</w:t>
      </w:r>
      <w:r w:rsidRPr="002B2E85">
        <w:rPr>
          <w:color w:val="auto"/>
          <w:szCs w:val="18"/>
        </w:rPr>
        <w:t xml:space="preserve">. </w:t>
      </w:r>
    </w:p>
    <w:p w:rsidR="005B6D70" w:rsidRDefault="005B6D70">
      <w:pPr>
        <w:spacing w:after="0" w:line="240" w:lineRule="auto"/>
        <w:rPr>
          <w:b/>
          <w:szCs w:val="18"/>
          <w:u w:val="single"/>
        </w:rPr>
      </w:pPr>
    </w:p>
    <w:p w:rsidR="007E6061" w:rsidRPr="002B2E85" w:rsidRDefault="007668D2">
      <w:pPr>
        <w:spacing w:after="0" w:line="240" w:lineRule="auto"/>
        <w:rPr>
          <w:szCs w:val="18"/>
        </w:rPr>
      </w:pPr>
      <w:r w:rsidRPr="002B2E85">
        <w:rPr>
          <w:b/>
          <w:szCs w:val="18"/>
          <w:u w:val="single"/>
        </w:rPr>
        <w:t>Dates</w:t>
      </w:r>
      <w:r w:rsidRPr="002B2E85">
        <w:rPr>
          <w:szCs w:val="18"/>
        </w:rPr>
        <w:t xml:space="preserve"> : du </w:t>
      </w:r>
      <w:r w:rsidR="000764A0">
        <w:rPr>
          <w:szCs w:val="18"/>
        </w:rPr>
        <w:t>mardi 19</w:t>
      </w:r>
      <w:r w:rsidR="00374882" w:rsidRPr="002B2E85">
        <w:rPr>
          <w:szCs w:val="18"/>
        </w:rPr>
        <w:t xml:space="preserve"> mars </w:t>
      </w:r>
      <w:proofErr w:type="spellStart"/>
      <w:r w:rsidR="000764A0">
        <w:rPr>
          <w:szCs w:val="18"/>
        </w:rPr>
        <w:t>9</w:t>
      </w:r>
      <w:r w:rsidR="00631D4A" w:rsidRPr="002B2E85">
        <w:rPr>
          <w:szCs w:val="18"/>
        </w:rPr>
        <w:t>h00</w:t>
      </w:r>
      <w:proofErr w:type="spellEnd"/>
      <w:r w:rsidR="00631D4A" w:rsidRPr="002B2E85">
        <w:rPr>
          <w:szCs w:val="18"/>
        </w:rPr>
        <w:t xml:space="preserve"> </w:t>
      </w:r>
      <w:r w:rsidR="000764A0">
        <w:rPr>
          <w:szCs w:val="18"/>
        </w:rPr>
        <w:t xml:space="preserve">au mercredi 20 mars </w:t>
      </w:r>
      <w:proofErr w:type="spellStart"/>
      <w:r w:rsidR="000764A0">
        <w:rPr>
          <w:szCs w:val="18"/>
        </w:rPr>
        <w:t>16h30</w:t>
      </w:r>
      <w:proofErr w:type="spellEnd"/>
      <w:r w:rsidR="00374882" w:rsidRPr="002B2E85">
        <w:rPr>
          <w:szCs w:val="18"/>
        </w:rPr>
        <w:t xml:space="preserve">. </w:t>
      </w:r>
    </w:p>
    <w:p w:rsidR="007E6061" w:rsidRPr="002B2E85" w:rsidRDefault="007668D2">
      <w:pPr>
        <w:spacing w:after="0" w:line="240" w:lineRule="auto"/>
        <w:rPr>
          <w:szCs w:val="18"/>
        </w:rPr>
      </w:pPr>
      <w:r w:rsidRPr="002B2E85">
        <w:rPr>
          <w:b/>
          <w:szCs w:val="18"/>
          <w:u w:val="single"/>
        </w:rPr>
        <w:t>Durée</w:t>
      </w:r>
      <w:r w:rsidRPr="002B2E85">
        <w:rPr>
          <w:szCs w:val="18"/>
        </w:rPr>
        <w:t xml:space="preserve"> : 2 jours </w:t>
      </w:r>
    </w:p>
    <w:p w:rsidR="007E6061" w:rsidRPr="002B2E85" w:rsidRDefault="007668D2">
      <w:pPr>
        <w:spacing w:after="0" w:line="240" w:lineRule="auto"/>
        <w:rPr>
          <w:szCs w:val="18"/>
        </w:rPr>
      </w:pPr>
      <w:r w:rsidRPr="002B2E85">
        <w:rPr>
          <w:b/>
          <w:szCs w:val="18"/>
          <w:u w:val="single"/>
        </w:rPr>
        <w:t>Lieu</w:t>
      </w:r>
      <w:r w:rsidR="005050C1" w:rsidRPr="002B2E85">
        <w:rPr>
          <w:szCs w:val="18"/>
        </w:rPr>
        <w:t> : AgroSup Dijon</w:t>
      </w:r>
      <w:r w:rsidR="00F25568" w:rsidRPr="002B2E85">
        <w:rPr>
          <w:szCs w:val="18"/>
        </w:rPr>
        <w:t xml:space="preserve"> ou établissement d’accueil</w:t>
      </w:r>
    </w:p>
    <w:p w:rsidR="007E6061" w:rsidRPr="002B2E85" w:rsidRDefault="007E6061">
      <w:pPr>
        <w:spacing w:after="0" w:line="240" w:lineRule="auto"/>
        <w:rPr>
          <w:szCs w:val="18"/>
        </w:rPr>
      </w:pPr>
    </w:p>
    <w:p w:rsidR="007E6061" w:rsidRPr="002B2E85" w:rsidRDefault="007668D2">
      <w:pPr>
        <w:spacing w:after="0" w:line="240" w:lineRule="auto"/>
        <w:rPr>
          <w:szCs w:val="18"/>
        </w:rPr>
      </w:pPr>
      <w:r w:rsidRPr="002B2E85">
        <w:rPr>
          <w:b/>
          <w:szCs w:val="18"/>
          <w:u w:val="single"/>
        </w:rPr>
        <w:t>Contacts</w:t>
      </w:r>
      <w:r w:rsidRPr="002B2E85">
        <w:rPr>
          <w:szCs w:val="18"/>
        </w:rPr>
        <w:t xml:space="preserve"> : </w:t>
      </w:r>
    </w:p>
    <w:p w:rsidR="007E6061" w:rsidRPr="002B2E85" w:rsidRDefault="007668D2">
      <w:pPr>
        <w:spacing w:after="0" w:line="240" w:lineRule="auto"/>
        <w:rPr>
          <w:szCs w:val="18"/>
        </w:rPr>
      </w:pPr>
      <w:r w:rsidRPr="002B2E85">
        <w:rPr>
          <w:szCs w:val="18"/>
        </w:rPr>
        <w:t xml:space="preserve">Béatrice </w:t>
      </w:r>
      <w:proofErr w:type="spellStart"/>
      <w:r w:rsidRPr="002B2E85">
        <w:rPr>
          <w:szCs w:val="18"/>
        </w:rPr>
        <w:t>Dégrange</w:t>
      </w:r>
      <w:proofErr w:type="spellEnd"/>
      <w:r w:rsidRPr="002B2E85">
        <w:rPr>
          <w:szCs w:val="18"/>
        </w:rPr>
        <w:t xml:space="preserve">, </w:t>
      </w:r>
      <w:proofErr w:type="spellStart"/>
      <w:r w:rsidRPr="002B2E85">
        <w:rPr>
          <w:szCs w:val="18"/>
        </w:rPr>
        <w:t>Agrosup</w:t>
      </w:r>
      <w:proofErr w:type="spellEnd"/>
      <w:r w:rsidR="006C4873" w:rsidRPr="002B2E85">
        <w:rPr>
          <w:szCs w:val="18"/>
        </w:rPr>
        <w:t xml:space="preserve"> </w:t>
      </w:r>
      <w:r w:rsidRPr="002B2E85">
        <w:rPr>
          <w:szCs w:val="18"/>
        </w:rPr>
        <w:t>Dijon</w:t>
      </w:r>
    </w:p>
    <w:p w:rsidR="007E6061" w:rsidRPr="00AD0A2E" w:rsidRDefault="007668D2" w:rsidP="00AD0A2E">
      <w:pPr>
        <w:spacing w:after="0" w:line="240" w:lineRule="auto"/>
        <w:rPr>
          <w:szCs w:val="18"/>
        </w:rPr>
      </w:pPr>
      <w:r w:rsidRPr="002B2E85">
        <w:rPr>
          <w:szCs w:val="18"/>
        </w:rPr>
        <w:t>Intervenants :</w:t>
      </w:r>
      <w:r w:rsidR="004C2054">
        <w:rPr>
          <w:szCs w:val="18"/>
        </w:rPr>
        <w:t xml:space="preserve"> </w:t>
      </w:r>
      <w:r w:rsidRPr="002B2E85">
        <w:rPr>
          <w:szCs w:val="18"/>
        </w:rPr>
        <w:t xml:space="preserve">Chargés d’ingénierie </w:t>
      </w:r>
      <w:r w:rsidR="00DA3928" w:rsidRPr="002B2E85">
        <w:rPr>
          <w:szCs w:val="18"/>
        </w:rPr>
        <w:t xml:space="preserve">du </w:t>
      </w:r>
      <w:r w:rsidR="00D13ADE" w:rsidRPr="002B2E85">
        <w:rPr>
          <w:szCs w:val="18"/>
        </w:rPr>
        <w:t xml:space="preserve">Dispositif National d’Appui et </w:t>
      </w:r>
      <w:r w:rsidR="00DA3928" w:rsidRPr="002B2E85">
        <w:rPr>
          <w:szCs w:val="18"/>
        </w:rPr>
        <w:t>a</w:t>
      </w:r>
      <w:r w:rsidRPr="002B2E85">
        <w:rPr>
          <w:szCs w:val="18"/>
        </w:rPr>
        <w:t>nimateurs réseaux thématiques</w:t>
      </w:r>
      <w:r w:rsidR="00436881" w:rsidRPr="002B2E85">
        <w:rPr>
          <w:szCs w:val="18"/>
        </w:rPr>
        <w:t xml:space="preserve"> </w:t>
      </w:r>
      <w:r w:rsidR="00374882" w:rsidRPr="002B2E85">
        <w:rPr>
          <w:szCs w:val="18"/>
        </w:rPr>
        <w:t>nationaux</w:t>
      </w:r>
    </w:p>
    <w:sectPr w:rsidR="007E6061" w:rsidRPr="00AD0A2E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157C6A6E"/>
    <w:multiLevelType w:val="hybridMultilevel"/>
    <w:tmpl w:val="30941E9E"/>
    <w:lvl w:ilvl="0" w:tplc="9FF61D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50F9A"/>
    <w:multiLevelType w:val="multilevel"/>
    <w:tmpl w:val="5FDC0D2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82B648D"/>
    <w:multiLevelType w:val="hybridMultilevel"/>
    <w:tmpl w:val="708E564C"/>
    <w:lvl w:ilvl="0" w:tplc="E436AB12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675A4B"/>
    <w:multiLevelType w:val="multilevel"/>
    <w:tmpl w:val="4C0499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61"/>
    <w:rsid w:val="00013266"/>
    <w:rsid w:val="000764A0"/>
    <w:rsid w:val="000C347F"/>
    <w:rsid w:val="002366AD"/>
    <w:rsid w:val="002B2E85"/>
    <w:rsid w:val="002B61C9"/>
    <w:rsid w:val="00367752"/>
    <w:rsid w:val="00374882"/>
    <w:rsid w:val="00427907"/>
    <w:rsid w:val="00436881"/>
    <w:rsid w:val="004544FD"/>
    <w:rsid w:val="00475036"/>
    <w:rsid w:val="004C2054"/>
    <w:rsid w:val="005050C1"/>
    <w:rsid w:val="00566898"/>
    <w:rsid w:val="00574476"/>
    <w:rsid w:val="00576BB5"/>
    <w:rsid w:val="005B6A50"/>
    <w:rsid w:val="005B6D70"/>
    <w:rsid w:val="005C5E0F"/>
    <w:rsid w:val="006217E5"/>
    <w:rsid w:val="00631D4A"/>
    <w:rsid w:val="00640B80"/>
    <w:rsid w:val="00685FCA"/>
    <w:rsid w:val="006C4873"/>
    <w:rsid w:val="007668D2"/>
    <w:rsid w:val="007E6061"/>
    <w:rsid w:val="00892ADA"/>
    <w:rsid w:val="008A4A3F"/>
    <w:rsid w:val="00921BAB"/>
    <w:rsid w:val="0095017A"/>
    <w:rsid w:val="009D11C4"/>
    <w:rsid w:val="00A41235"/>
    <w:rsid w:val="00AD0A2E"/>
    <w:rsid w:val="00B33F5E"/>
    <w:rsid w:val="00B61803"/>
    <w:rsid w:val="00BE0676"/>
    <w:rsid w:val="00C31A72"/>
    <w:rsid w:val="00C4650A"/>
    <w:rsid w:val="00C62A42"/>
    <w:rsid w:val="00CA7E7A"/>
    <w:rsid w:val="00D13ADE"/>
    <w:rsid w:val="00D2613C"/>
    <w:rsid w:val="00DA3928"/>
    <w:rsid w:val="00DD155A"/>
    <w:rsid w:val="00DD1989"/>
    <w:rsid w:val="00DE18E3"/>
    <w:rsid w:val="00F25568"/>
    <w:rsid w:val="00F8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/>
      <w:sz w:val="1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18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aragraphedeliste">
    <w:name w:val="List Paragraph"/>
    <w:basedOn w:val="Normal"/>
    <w:uiPriority w:val="34"/>
    <w:qFormat/>
    <w:rsid w:val="00591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/>
      <w:sz w:val="1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18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aragraphedeliste">
    <w:name w:val="List Paragraph"/>
    <w:basedOn w:val="Normal"/>
    <w:uiPriority w:val="34"/>
    <w:qFormat/>
    <w:rsid w:val="00591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DEGRANGE</dc:creator>
  <cp:lastModifiedBy>Beatrice DEGRANGE</cp:lastModifiedBy>
  <cp:revision>4</cp:revision>
  <cp:lastPrinted>2018-01-11T11:21:00Z</cp:lastPrinted>
  <dcterms:created xsi:type="dcterms:W3CDTF">2019-01-16T15:33:00Z</dcterms:created>
  <dcterms:modified xsi:type="dcterms:W3CDTF">2019-01-17T09:25:00Z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